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1255 BGB — Aufhebung des Pfandrechts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Aufhebung des Pfandrechts durch Rechtsgeschäft genügt die Erklärung des Pfandgläubigers gegenüber dem Verpfänder oder dem Eigentümer, dass er das Pfandrecht aufgebe.</w:t>
      </w:r>
    </w:p>
    <w:p>
      <w:r>
        <w:t xml:space="preserve">(2) Ist das Pfandrecht mit dem Recht eines Dritten belastet, so ist die Zustimmung des Dritten erforderlich. Die Zustimmung ist demjenigen gegenüber zu erklären, zu dessen Gunsten sie erfolgt; sie ist unwiderruflich.</w:t>
      </w:r>
    </w:p>
    <w:p>
      <w:r>
        <w:rPr>
          <w:color w:val="555555"/>
          <w:sz w:val="17"/>
        </w:rPr>
        <w:t xml:space="preserve">Zitiervorschlag: § 1255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https://recht.nulegal.eu/gesetze/BGB/1255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