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1251 BGB — Wirkung des Pfandrechtsübergangs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neue Pfandgläubiger kann von dem bisherigen Pfandgläubiger die Herausgabe des Pfandes verlangen.</w:t>
      </w:r>
    </w:p>
    <w:p>
      <w:r>
        <w:t xml:space="preserve">(2) Mit der Erlangung des Besitzes tritt der neue Pfandgläubiger anstelle des bisherigen Pfandgläubigers in die mit dem Pfandrecht verbundenen Verpflichtungen gegen den Verpfänder ein. Erfüllt er die Verpflichtungen nicht, so haftet für den von ihm zu ersetzenden Schaden der bisherige Pfandgläubiger wie ein Bürge, der auf die Einrede der Vorausklage verzichtet hat. Die Haftung des bisherigen Pfandgläubigers tritt nicht ein, wenn die Forderung kraft Gesetzes auf den neuen Pfandgläubiger übergeht oder ihm auf Grund einer gesetzlichen Verpflichtung abgetreten wird.</w:t>
      </w:r>
    </w:p>
    <w:p>
      <w:r>
        <w:rPr>
          <w:color w:val="555555"/>
          <w:sz w:val="17"/>
        </w:rPr>
        <w:t xml:space="preserve">Zitiervorschlag: § 1251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https://recht.nulegal.eu/gesetze/BGB/1251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