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1243 BGB — Rechtswidrige Veräußerung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Veräußerung des Pfandes ist nicht rechtmäßig, wenn gegen die Vorschriften des § 1228 Abs. 2, des § 1230 Satz 2, des § 1235, des § 1237 Satz 1 oder des § 1240 verstoßen wird.</w:t>
      </w:r>
    </w:p>
    <w:p>
      <w:r>
        <w:t xml:space="preserve">(2) Verletzt der Pfandgläubiger eine andere für den Verkauf geltende Vorschrift, so ist er zum Schadensersatz verpflichtet, wenn ihm ein Verschulden zur Last fällt.</w:t>
      </w:r>
    </w:p>
    <w:p>
      <w:r>
        <w:rPr>
          <w:color w:val="555555"/>
          <w:sz w:val="17"/>
        </w:rPr>
        <w:t xml:space="preserve">Zitiervorschlag: § 1243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