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1223 BGB — Rückgabepflicht; Einlösungsrecht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Pfandgläubiger ist verpflichtet, das Pfand nach dem Erlöschen des Pfandrechts dem Verpfänder zurückzugeben.</w:t>
      </w:r>
    </w:p>
    <w:p>
      <w:r>
        <w:t xml:space="preserve">(2) Der Verpfänder kann die Rückgabe des Pfandes gegen Befriedigung des Pfandgläubigers verlangen, sobald der Schuldner zur Leistung berechtigt ist.</w:t>
      </w:r>
    </w:p>
    <w:p>
      <w:r>
        <w:rPr>
          <w:color w:val="555555"/>
          <w:sz w:val="17"/>
        </w:rPr>
        <w:t xml:space="preserve">Zitiervorschlag: § 1223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https://recht.nulegal.eu/gesetze/BGB/1223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