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1221 BGB — Freihändiger Verkauf</w:t>
      </w:r>
    </w:p>
    <w:p>
      <w:r>
        <w:rPr>
          <w:color w:val="555555"/>
          <w:sz w:val="18"/>
        </w:rPr>
        <w:t xml:space="preserve">Bürgerliches Gesetzbuch</w:t>
      </w:r>
    </w:p>
    <w:p>
      <w:r>
        <w:rPr>
          <w:color w:val="555555"/>
          <w:sz w:val="18"/>
        </w:rPr>
        <w:t xml:space="preserve">Stand: 23.12.2020 (konsolidierte Textfassung, kein amtliches Inkrafttretensdatum)</w:t>
      </w:r>
    </w:p>
    <w:p>
      <w:r>
        <w:t xml:space="preserve">Hat das Pfand einen Börsen- oder Marktpreis, so kann der Pfandgläubiger den Verkauf aus freier Hand durch einen zu solchen Verkäufen öffentlich ermächtigten Handelsmakler oder durch eine zur öffentlichen Versteigerung befugte Person zum laufenden Preis bewirken.</w:t>
      </w:r>
    </w:p>
    <w:p>
      <w:r>
        <w:rPr>
          <w:color w:val="555555"/>
          <w:sz w:val="17"/>
        </w:rPr>
        <w:t xml:space="preserve">Zitiervorschlag: § 1221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