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1219 BGB — Rechte des Pfandgläubigers bei drohendem Verderb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durch den drohenden Verderb des Pfandes oder durch eine zu besorgende wesentliche Minderung des Wertes die Sicherheit des Pfandgläubigers gefährdet, so kann dieser das Pfand öffentlich versteigern lassen.</w:t>
      </w:r>
    </w:p>
    <w:p>
      <w:r>
        <w:t xml:space="preserve">(2) Der Erlös tritt an die Stelle des Pfandes. Auf Verlangen des Verpfänders ist der Erlös zu hinterlegen.</w:t>
      </w:r>
    </w:p>
    <w:p>
      <w:r>
        <w:rPr>
          <w:color w:val="555555"/>
          <w:sz w:val="17"/>
        </w:rPr>
        <w:t xml:space="preserve">Zitiervorschlag: § 1219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