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1214 BGB — Pflichten des nutzungsberechtigten Pfandgläubigers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Steht dem Pfandgläubiger das Recht zu, die Nutzungen zu ziehen, so ist er verpflichtet, für die Gewinnung der Nutzungen zu sorgen und Rechenschaft abzulegen.</w:t>
      </w:r>
    </w:p>
    <w:p>
      <w:r>
        <w:t xml:space="preserve">(2) Der Reinertrag der Nutzungen wird auf die geschuldete Leistung und, wenn Kosten und Zinsen zu entrichten sind, zunächst auf diese angerechnet.</w:t>
      </w:r>
    </w:p>
    <w:p>
      <w:r>
        <w:t xml:space="preserve">(3) Abweichende Bestimmungen sind zulässig.</w:t>
      </w:r>
    </w:p>
    <w:p>
      <w:r>
        <w:rPr>
          <w:color w:val="555555"/>
          <w:sz w:val="17"/>
        </w:rPr>
        <w:t xml:space="preserve">Zitiervorschlag: § 1214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https://recht.nulegal.eu/gesetze/BGB/1214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