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1213 BGB — Nutzungspfand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Pfandrecht kann in der Weise bestellt werden, dass der Pfandgläubiger berechtigt ist, die Nutzungen des Pfandes zu ziehen.</w:t>
      </w:r>
    </w:p>
    <w:p>
      <w:r>
        <w:t xml:space="preserve">(2) Ist eine von Natur Frucht tragende Sache dem Pfandgläubiger zum Alleinbesitz übergeben, so ist im Zweifel anzunehmen, dass der Pfandgläubiger zum Fruchtbezug berechtigt sein soll.</w:t>
      </w:r>
    </w:p>
    <w:p>
      <w:r>
        <w:rPr>
          <w:color w:val="555555"/>
          <w:sz w:val="17"/>
        </w:rPr>
        <w:t xml:space="preserve">Zitiervorschlag: § 1213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