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1197 BGB — Abweichungen von der Fremdgrundschuld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Eigentümer der Gläubiger, so kann er nicht die Zwangsvollstreckung zum Zwecke seiner Befriedigung betreiben.</w:t>
      </w:r>
    </w:p>
    <w:p>
      <w:r>
        <w:t xml:space="preserve">(2) Zinsen gebühren dem Eigentümer nur, wenn das Grundstück auf Antrag eines anderen zum Zwecke der Zwangsverwaltung in Beschlag genommen ist, und nur für die Dauer der Zwangsverwaltung.</w:t>
      </w:r>
    </w:p>
    <w:p>
      <w:r>
        <w:rPr>
          <w:color w:val="555555"/>
          <w:sz w:val="17"/>
        </w:rPr>
        <w:t xml:space="preserve">Zitiervorschlag: § 1197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