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1193 BGB — Kündigung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Kapital der Grundschuld wird erst nach vorgängiger Kündigung fällig. Die Kündigung steht sowohl dem Eigentümer als dem Gläubiger zu. Die Kündigungsfrist beträgt sechs Monate.</w:t>
      </w:r>
    </w:p>
    <w:p>
      <w:r>
        <w:t xml:space="preserve">(2) Abweichende Bestimmungen sind zulässig. Dient die Grundschuld der Sicherung einer Geldforderung, so ist eine von Absatz 1 abweichende Bestimmung nicht zulässig.</w:t>
      </w:r>
    </w:p>
    <w:p>
      <w:r>
        <w:rPr>
          <w:color w:val="555555"/>
          <w:sz w:val="17"/>
        </w:rPr>
        <w:t xml:space="preserve">Zitiervorschlag: § 1193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https://recht.nulegal.eu/gesetze/BGB/1193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