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1190 BGB — Höchstbetragshypothek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Eine Hypothek kann in der Weise bestellt werden, dass nur der Höchstbetrag, bis zu dem das Grundstück haften soll, bestimmt, im Übrigen die Feststellung der Forderung vorbehalten wird. Der Höchstbetrag muss in das Grundbuch eingetragen werden.</w:t>
      </w:r>
    </w:p>
    <w:p>
      <w:r>
        <w:t xml:space="preserve">(2) Ist die Forderung verzinslich, so werden die Zinsen in den Höchstbetrag eingerechnet.</w:t>
      </w:r>
    </w:p>
    <w:p>
      <w:r>
        <w:t xml:space="preserve">(3) Die Hypothek gilt als Sicherungshypothek, auch wenn sie im Grundbuch nicht als solche bezeichnet ist.</w:t>
      </w:r>
    </w:p>
    <w:p>
      <w:r>
        <w:t xml:space="preserve">(4) Die Forderung kann nach den für die Übertragung von Forderungen geltenden allgemeinen Vorschriften übertragen werden. Wird sie nach diesen Vorschriften übertragen, so ist der Übergang der Hypothek ausgeschlossen.</w:t>
      </w:r>
    </w:p>
    <w:p>
      <w:r>
        <w:rPr>
          <w:color w:val="555555"/>
          <w:sz w:val="17"/>
        </w:rPr>
        <w:t xml:space="preserve">Zitiervorschlag: § 1190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