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1188 BGB — Sondervorschrift für Schuldverschreibungen auf den Inhaber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Zur Bestellung einer Hypothek für die Forderung aus einer Schuldverschreibung auf den Inhaber genügt die Erklärung des Eigentümers gegenüber dem Grundbuchamt, dass er die Hypothek bestelle, und die Eintragung in das Grundbuch; die Vorschrift des § 878 findet Anwendung.</w:t>
      </w:r>
    </w:p>
    <w:p>
      <w:r>
        <w:t xml:space="preserve">(2) Die Ausschließung des Gläubigers mit seinem Recht nach § 1170 ist nur zulässig, wenn die im § 801 bezeichnete Vorlegungsfrist verstrichen ist. Ist innerhalb der Frist die Schuldverschreibung vorgelegt oder der Anspruch aus der Urkunde gerichtlich geltend gemacht worden, so kann die Ausschließung erst erfolgen, wenn die Verjährung eingetreten ist.</w:t>
      </w:r>
    </w:p>
    <w:p>
      <w:r>
        <w:rPr>
          <w:color w:val="555555"/>
          <w:sz w:val="17"/>
        </w:rPr>
        <w:t xml:space="preserve">Zitiervorschlag: § 1188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