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1154 BGB — Abtretung der Forderung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Abtretung der Forderung ist Erteilung der Abtretungserklärung in schriftlicher Form und Übergabe des Hypothekenbriefs erforderlich; die Vorschrift des § 1117 findet Anwendung. Der bisherige Gläubiger hat auf Verlangen des neuen Gläubigers die Abtretungserklärung auf seine Kosten öffentlich beglaubigen zu lassen.</w:t>
      </w:r>
    </w:p>
    <w:p>
      <w:r>
        <w:t xml:space="preserve">(2) Die schriftliche Form der Abtretungserklärung kann dadurch ersetzt werden, dass die Abtretung in das Grundbuch eingetragen wird.</w:t>
      </w:r>
    </w:p>
    <w:p>
      <w:r>
        <w:t xml:space="preserve">(3) Ist die Erteilung des Hypothekenbriefs ausgeschlossen, so finden auf die Abtretung der Forderung die Vorschriften der §§ 873, 878 entsprechende Anwendung.</w:t>
      </w:r>
    </w:p>
    <w:p>
      <w:r>
        <w:rPr>
          <w:color w:val="555555"/>
          <w:sz w:val="17"/>
        </w:rPr>
        <w:t xml:space="preserve">Zitiervorschlag: § 1154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