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1143 BGB — Übergang der Forderung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17.08.2024 (konsolidierte Textfassung, kein amtliches Inkrafttretensdatum)</w:t>
      </w:r>
    </w:p>
    <w:p>
      <w:r>
        <w:t xml:space="preserve">(1) Ist der Eigentümer nicht der persönliche Schuldner, so geht, soweit er den Gläubiger befriedigt, die Forderung auf ihn über. Die für einen Bürgen geltende Vorschrift des § 774 Abs. 1 findet entsprechende Anwendung.</w:t>
      </w:r>
    </w:p>
    <w:p>
      <w:r>
        <w:t xml:space="preserve">(2) Besteht für die Forderung eine Gesamthypothek, so gilt für diese die Vorschrift des § 1173.</w:t>
      </w:r>
    </w:p>
    <w:p>
      <w:r>
        <w:rPr>
          <w:color w:val="555555"/>
          <w:sz w:val="17"/>
        </w:rPr>
        <w:t xml:space="preserve">Zitiervorschlag: § 1143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