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1122 BGB — Enthaftung ohne Veräußerung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die Erzeugnisse oder Bestandteile innerhalb der Grenzen einer ordnungsmäßigen Wirtschaft von dem Grundstück getrennt worden, so erlischt ihre Haftung auch ohne Veräußerung, wenn sie vor der Beschlagnahme von dem Grundstück entfernt werden, es sei denn, dass die Entfernung zu einem vorübergehenden Zwecke erfolgt.</w:t>
      </w:r>
    </w:p>
    <w:p>
      <w:r>
        <w:t xml:space="preserve">(2) Zubehörstücke werden ohne Veräußerung von der Haftung frei, wenn die Zubehöreigenschaft innerhalb der Grenzen einer ordnungsmäßigen Wirtschaft vor der Beschlagnahme aufgehoben wird.</w:t>
      </w:r>
    </w:p>
    <w:p>
      <w:r>
        <w:rPr>
          <w:color w:val="555555"/>
          <w:sz w:val="17"/>
        </w:rPr>
        <w:t xml:space="preserve">Zitiervorschlag: § 1122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