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1112 BGB — Ausschluss unbekannter Berechtigter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17.08.2024 (konsolidierte Textfassung, kein amtliches Inkrafttretensdatum)</w:t>
      </w:r>
    </w:p>
    <w:p>
      <w:r>
        <w:t xml:space="preserve">Ist der Berechtigte unbekannt, so findet auf die Ausschließung seines Rechts die Vorschrift des § 1104 entsprechende Anwendung.</w:t>
      </w:r>
    </w:p>
    <w:p>
      <w:r>
        <w:rPr>
          <w:color w:val="555555"/>
          <w:sz w:val="17"/>
        </w:rPr>
        <w:t xml:space="preserve">Zitiervorschlag: § 1112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https://recht.nulegal.eu/gesetze/BGB/1112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