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1111 BGB — Subjektiv-persönliche Reallast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zugunsten einer bestimmten Person bestehende Reallast kann nicht mit dem Eigentum an einem Grundstück verbunden werden.</w:t>
      </w:r>
    </w:p>
    <w:p>
      <w:r>
        <w:t xml:space="preserve">(2) Ist der Anspruch auf die einzelne Leistung nicht übertragbar, so kann das Recht nicht veräußert oder belastet werden.</w:t>
      </w:r>
    </w:p>
    <w:p>
      <w:r>
        <w:rPr>
          <w:color w:val="555555"/>
          <w:sz w:val="17"/>
        </w:rPr>
        <w:t xml:space="preserve">Zitiervorschlag: § 1111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