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1103 BGB — Subjektiv-dingliches und subjektiv-persönliches Vorkaufsrecht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zugunsten des jeweiligen Eigentümers eines Grundstücks bestehendes Vorkaufsrecht kann nicht von dem Eigentum an diesem Grundstück getrennt werden.</w:t>
      </w:r>
    </w:p>
    <w:p>
      <w:r>
        <w:t xml:space="preserve">(2) Ein zugunsten einer bestimmten Person bestehendes Vorkaufsrecht kann nicht mit dem Eigentum an einem Grundstück verbunden werden.</w:t>
      </w:r>
    </w:p>
    <w:p>
      <w:r>
        <w:rPr>
          <w:color w:val="555555"/>
          <w:sz w:val="17"/>
        </w:rPr>
        <w:t xml:space="preserve">Zitiervorschlag: § 1103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