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1099 BGB — Mitteilungen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Gelangt das Grundstück in das Eigentum eines Dritten, so kann dieser in gleicher Weise wie der Verpflichtete dem Berechtigten den Inhalt des Kaufvertrags mit der im § 469 Abs. 2 bestimmten Wirkung mitteilen.</w:t>
      </w:r>
    </w:p>
    <w:p>
      <w:r>
        <w:t xml:space="preserve">(2) Der Verpflichtete hat den neuen Eigentümer zu benachrichtigen, sobald die Ausübung des Vorkaufsrechts erfolgt oder ausgeschlossen ist.</w:t>
      </w:r>
    </w:p>
    <w:p>
      <w:r>
        <w:rPr>
          <w:color w:val="555555"/>
          <w:sz w:val="17"/>
        </w:rPr>
        <w:t xml:space="preserve">Zitiervorschlag: § 1099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https://recht.nulegal.eu/gesetze/BGB/1099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