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1083 BGB — Mitwirkung zur Einziehung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17.08.2024 (konsolidierte Textfassung, kein amtliches Inkrafttretensdatum)</w:t>
      </w:r>
    </w:p>
    <w:p>
      <w:r>
        <w:t xml:space="preserve">(1) Der Nießbraucher und der Eigentümer des Papiers sind einander verpflichtet, zur Einziehung des fälligen Kapitals, zur Beschaffung neuer Zins-, Renten- oder Gewinnanteilscheine sowie zu sonstigen Maßnahmen mitzuwirken, die zur ordnungsmäßigen Vermögensverwaltung erforderlich sind.</w:t>
      </w:r>
    </w:p>
    <w:p>
      <w:r>
        <w:t xml:space="preserve">(2) Im Falle der Einlösung des Papiers findet die Vorschrift des § 1079 Anwendung. Eine bei der Einlösung gezahlte Prämie gilt als Teil des Kapitals.</w:t>
      </w:r>
    </w:p>
    <w:p>
      <w:r>
        <w:rPr>
          <w:color w:val="555555"/>
          <w:sz w:val="17"/>
        </w:rPr>
        <w:t xml:space="preserve">Zitiervorschlag: § 1083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https://recht.nulegal.eu/gesetze/BGB/1083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