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1063 BGB — Zusammentreffen mit dem Eigentum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Nießbrauch an einer beweglichen Sache erlischt, wenn er mit dem Eigentum in derselben Person zusammentrifft.</w:t>
      </w:r>
    </w:p>
    <w:p>
      <w:r>
        <w:t xml:space="preserve">(2) Der Nießbrauch gilt als nicht erloschen, soweit der Eigentümer ein rechtliches Interesse an dem Fortbestehen des Nießbrauchs hat.</w:t>
      </w:r>
    </w:p>
    <w:p>
      <w:r>
        <w:rPr>
          <w:color w:val="555555"/>
          <w:sz w:val="17"/>
        </w:rPr>
        <w:t xml:space="preserve">Zitiervorschlag: § 1063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https://recht.nulegal.eu/gesetze/BGB/1063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