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1053 BGB — Unterlassungsklage bei unbefugtem Gebrauch</w:t>
      </w:r>
    </w:p>
    <w:p>
      <w:r>
        <w:rPr>
          <w:color w:val="555555"/>
          <w:sz w:val="18"/>
        </w:rPr>
        <w:t xml:space="preserve">Bürgerliches Gesetzbuch</w:t>
      </w:r>
    </w:p>
    <w:p>
      <w:r>
        <w:rPr>
          <w:color w:val="555555"/>
          <w:sz w:val="18"/>
        </w:rPr>
        <w:t xml:space="preserve">Stand: 10.06.2019 (konsolidierte Textfassung, kein amtliches Inkrafttretensdatum)</w:t>
      </w:r>
    </w:p>
    <w:p>
      <w:r>
        <w:t xml:space="preserve">Macht der Nießbraucher einen Gebrauch von der Sache, zu dem er nicht befugt ist, und setzt er den Gebrauch ungeachtet einer Abmahnung des Eigentümers fort, so kann der Eigentümer auf Unterlassung klagen.</w:t>
      </w:r>
    </w:p>
    <w:p>
      <w:r>
        <w:rPr>
          <w:color w:val="555555"/>
          <w:sz w:val="17"/>
        </w:rPr>
        <w:t xml:space="preserve">Zitiervorschlag: § 1053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