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1049 BGB — Ersatz von Verwendungen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Macht der Nießbraucher Verwendungen auf die Sache, zu denen er nicht verpflichtet ist, so bestimmt sich die Ersatzpflicht des Eigentümers nach den Vorschriften über die Geschäftsführung ohne Auftrag.</w:t>
      </w:r>
    </w:p>
    <w:p>
      <w:r>
        <w:t xml:space="preserve">(2) Der Nießbraucher ist berechtigt, eine Einrichtung, mit der er die Sache versehen hat, wegzunehmen.</w:t>
      </w:r>
    </w:p>
    <w:p>
      <w:r>
        <w:rPr>
          <w:color w:val="555555"/>
          <w:sz w:val="17"/>
        </w:rPr>
        <w:t xml:space="preserve">Zitiervorschlag: § 1049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https://recht.nulegal.eu/gesetze/BGB/1049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