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1038 BGB — Wirtschaftsplan für Wald und Bergwerk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Wald Gegenstand des Nießbrauchs, so kann sowohl der Eigentümer als der Nießbraucher verlangen, dass das Maß der Nutzung und die Art der wirtschaftlichen Behandlung durch einen Wirtschaftsplan festgestellt werden. Tritt eine erhebliche Änderung der Umstände ein, so kann jeder Teil eine entsprechende Änderung des Wirtschaftsplans verlangen. Die Kosten hat jeder Teil zur Hälfte zu tragen.</w:t>
      </w:r>
    </w:p>
    <w:p>
      <w:r>
        <w:t xml:space="preserve">(2) Das Gleiche gilt, wenn ein Bergwerk oder eine andere auf Gewinnung von Bodenbestandteilen gerichtete Anlage Gegenstand des Nießbrauchs ist.</w:t>
      </w:r>
    </w:p>
    <w:p>
      <w:r>
        <w:rPr>
          <w:color w:val="555555"/>
          <w:sz w:val="17"/>
        </w:rPr>
        <w:t xml:space="preserve">Zitiervorschlag: § 1038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