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1036 BGB — Besitzrecht; Ausübung des Nießbrauchs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Nießbraucher ist zum Besitz der Sache berechtigt.</w:t>
      </w:r>
    </w:p>
    <w:p>
      <w:r>
        <w:t xml:space="preserve">(2) Er hat bei der Ausübung des Nutzungsrechts die bisherige wirtschaftliche Bestimmung der Sache aufrechtzuerhalten und nach den Regeln einer ordnungsmäßigen Wirtschaft zu verfahren.</w:t>
      </w:r>
    </w:p>
    <w:p>
      <w:r>
        <w:rPr>
          <w:color w:val="555555"/>
          <w:sz w:val="17"/>
        </w:rPr>
        <w:t xml:space="preserve">Zitiervorschlag: § 1036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1036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