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1021 BGB — Vereinbarte Unterhaltungspflicht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Gehört zur Ausübung einer Grunddienstbarkeit eine Anlage auf dem belasteten Grundstück, so kann bestimmt werden, dass der Eigentümer dieses Grundstücks die Anlage zu unterhalten hat, soweit das Interesse des Berechtigten es erfordert. Steht dem Eigentümer das Recht zur Mitbenutzung der Anlage zu, so kann bestimmt werden, dass der Berechtigte die Anlage zu unterhalten hat, soweit es für das Benutzungsrecht des Eigentümers erforderlich ist.</w:t>
      </w:r>
    </w:p>
    <w:p>
      <w:r>
        <w:t xml:space="preserve">(2) Auf eine solche Unterhaltungspflicht finden die Vorschriften über die Reallasten entsprechende Anwendung.</w:t>
      </w:r>
    </w:p>
    <w:p>
      <w:r>
        <w:rPr>
          <w:color w:val="555555"/>
          <w:sz w:val="17"/>
        </w:rPr>
        <w:t xml:space="preserve">Zitiervorschlag: § 1021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