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1010 BGB — Sondernachfolger eines Miteigentümers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Haben die Miteigentümer eines Grundstücks die Verwaltung und Benutzung geregelt oder das Recht, die Aufhebung der Gemeinschaft zu verlangen, für immer oder auf Zeit ausgeschlossen oder eine Kündigungsfrist bestimmt, so wirkt die getroffene Bestimmung gegen den Sondernachfolger eines Miteigentümers nur, wenn sie als Belastung des Anteils im Grundbuch eingetragen ist.</w:t>
      </w:r>
    </w:p>
    <w:p>
      <w:r>
        <w:t xml:space="preserve">(2) Die in den §§ 755, 756 bestimmten Ansprüche können gegen den Sondernachfolger eines Miteigentümers nur geltend gemacht werden, wenn sie im Grundbuch eingetragen sind.</w:t>
      </w:r>
    </w:p>
    <w:p>
      <w:r>
        <w:rPr>
          <w:color w:val="555555"/>
          <w:sz w:val="17"/>
        </w:rPr>
        <w:t xml:space="preserve">Zitiervorschlag: § 1010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