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1002 BGB — Erlöschen des Verwendungsanspruchs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Gibt der Besitzer die Sache dem Eigentümer heraus, so erlischt der Anspruch auf den Ersatz der Verwendungen mit dem Ablauf eines Monats, bei einem Grundstück mit dem Ablauf von sechs Monaten nach der Herausgabe, wenn nicht vorher die gerichtliche Geltendmachung erfolgt oder der Eigentümer die Verwendungen genehmigt.</w:t>
      </w:r>
    </w:p>
    <w:p>
      <w:r>
        <w:t xml:space="preserve">(2) Auf diese Fristen finden die für die Verjährung geltenden Vorschriften der §§ 206, 210, 211 entsprechende Anwendung.</w:t>
      </w:r>
    </w:p>
    <w:p>
      <w:r>
        <w:rPr>
          <w:color w:val="555555"/>
          <w:sz w:val="17"/>
        </w:rPr>
        <w:t xml:space="preserve">Zitiervorschlag: § 1002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