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BGAktFV — Ersatzmaßnahmen</w:t>
      </w:r>
    </w:p>
    <w:p>
      <w:r>
        <w:rPr>
          <w:color w:val="555555"/>
          <w:sz w:val="18"/>
        </w:rPr>
        <w:t xml:space="preserve">Bundesgerichte-Aktenführungsverordnung</w:t>
      </w:r>
    </w:p>
    <w:p>
      <w:r>
        <w:rPr>
          <w:color w:val="555555"/>
          <w:sz w:val="18"/>
        </w:rPr>
        <w:t xml:space="preserve">Stand: 05.04.2020 (konsolidierte Textfassung, kein amtliches Inkrafttretensdatum)</w:t>
      </w:r>
    </w:p>
    <w:p>
      <w:r>
        <w:t xml:space="preserve">Im Fall technischer Störungen der elektronischen Aktenführung kann angeordnet werden, dass eine Ersatzakte in Papierform geführt wird. Diese ist in die elektronische Form zu übertragen, sobald die Störung behoben ist. Art und Dauer der Störung sind zu dokumentieren. Bei anhaltenden technischen Störungen ist das zuständige Bundesministerium zu unterrichten.</w:t>
      </w:r>
    </w:p>
    <w:p>
      <w:r>
        <w:rPr>
          <w:color w:val="555555"/>
          <w:sz w:val="17"/>
        </w:rPr>
        <w:t xml:space="preserve">Zitiervorschlag: § 6 BGAktFV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https://recht.nulegal.eu/gesetze/BGAktFV/6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