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BGAktFV — Anwendungsbereich</w:t>
      </w:r>
    </w:p>
    <w:p>
      <w:r>
        <w:rPr>
          <w:color w:val="555555"/>
          <w:sz w:val="18"/>
        </w:rPr>
        <w:t xml:space="preserve">Bundesgerichte-Aktenführungsverordnung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Diese Verordnung gilt für die Führung von elektronischen Prozess- und Verfahrensakten bei den obersten Gerichten des Bundes nach § 298a der Zivilprozessordnung, § 14 des Gesetzes über das Verfahren in Familiensachen und in den Angelegenheiten der freiwilligen Gerichtsbarkeit, § 46e des Arbeitsgerichtsgesetzes, § 65b des Sozialgerichtsgesetzes, § 55b der Verwaltungsgerichtsordnung sowie § 52b der Finanzgerichtsordnung.</w:t>
      </w:r>
    </w:p>
    <w:p>
      <w:r>
        <w:rPr>
          <w:color w:val="555555"/>
          <w:sz w:val="17"/>
        </w:rPr>
        <w:t xml:space="preserve">Zitiervorschlag: § 1 BGAktFV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https://recht.nulegal.eu/gesetze/BGAktFV/1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