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BGA-NachfG — Fachaufsicht</w:t>
      </w:r>
    </w:p>
    <w:p>
      <w:r>
        <w:rPr>
          <w:color w:val="555555"/>
          <w:sz w:val="18"/>
        </w:rPr>
        <w:t xml:space="preserve">BGA-Nachfolgegesetz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Bundesinstitute Aufgaben aus einem anderen Geschäftsbereich als dem des Bundesministeriums, zu dessen Geschäftsbereich sie gehören, wahrnehmen, unterstehen sie den fachlichen Weisungen der sachlich zuständigen obersten Bundesbehörde.</w:t>
      </w:r>
    </w:p>
    <w:p>
      <w:r>
        <w:rPr>
          <w:color w:val="555555"/>
          <w:sz w:val="17"/>
        </w:rPr>
        <w:t xml:space="preserve">Zitiervorschlag: § 5 BGA-NachfG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https://recht.nulegal.eu/gesetze/BGA-NachfG/5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