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BGA-NachfG</w:t>
      </w:r>
    </w:p>
    <w:p>
      <w:r>
        <w:rPr>
          <w:color w:val="555555"/>
          <w:sz w:val="18"/>
        </w:rPr>
        <w:t xml:space="preserve">BGA-Nachfolgegesetz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BGA-NachfG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https://recht.nulegal.eu/gesetze/BGA-NachfG/3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