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BGA-NachfG — Bundesinstitut für Arzneimittel und Medizinprodukte</w:t>
      </w:r>
    </w:p>
    <w:p>
      <w:r>
        <w:rPr>
          <w:color w:val="555555"/>
          <w:sz w:val="18"/>
        </w:rPr>
        <w:t xml:space="preserve">BGA-Nachfolgegesetz</w:t>
      </w:r>
    </w:p>
    <w:p>
      <w:r>
        <w:rPr>
          <w:color w:val="555555"/>
          <w:sz w:val="18"/>
        </w:rPr>
        <w:t xml:space="preserve">Stand: 26.03.2024 (konsolidierte Textfassung, kein amtliches Inkrafttretensdatum)</w:t>
      </w:r>
    </w:p>
    <w:p>
      <w:r>
        <w:t xml:space="preserve">(1) Im Geschäftsbereich des Bundesministeriums für Gesundheit wird ein "Bundesinstitut für Arzneimittel und Medizinprodukte" als selbständige Bundesoberbehörde errichtet.</w:t>
      </w:r>
    </w:p>
    <w:p>
      <w:r>
        <w:t xml:space="preserve">(2) Der Sitz des Bundesinstitutes ist Bonn. Die Sitzentscheidung wird mit dem Vollzug der Entscheidung über den Sitz der Bundesregierung gemäß § 3 Abs. 2 des Berlin/Bonn-Gesetzes vom 26. April 1994 (BGBl. I S. 918) vollzogen. Bis zum Vollzug der Sitzentscheidung ist Sitz des Bundesinstitutes Berlin.</w:t>
      </w:r>
    </w:p>
    <w:p>
      <w:r>
        <w:t xml:space="preserve">(3) Dieses Bundesinstitut wird insbesondere tätig auf folgenden Gebieten:</w:t>
      </w:r>
    </w:p>
    <w:p>
      <w:pPr>
        <w:ind w:left="420"/>
      </w:pPr>
      <w:r>
        <w:t xml:space="preserve">1. Zulassung von Fertigarzneimitteln im Sinne des § 4 Absatz 1 des Arzneimittelgesetzes auf der Grundlage der analytischen, pharmakologisch-toxikologischen und klinischen Prüfungen, soweit nicht das Paul-Ehrlich-Institut nach § 77 des Arzneimittelgesetzes zuständig ist,</w:t>
      </w:r>
    </w:p>
    <w:p>
      <w:pPr>
        <w:ind w:left="420"/>
      </w:pPr>
      <w:r>
        <w:t xml:space="preserve">2. Registrierung homöopathischer Arzneimittel im Sinne des § 4 Absatz 26 des Arzneimittelgesetzes,</w:t>
      </w:r>
    </w:p>
    <w:p>
      <w:pPr>
        <w:ind w:left="420"/>
      </w:pPr>
      <w:r>
        <w:t xml:space="preserve">3. Risikoerfassung und -bewertung sowie Durchführung von Maßnahmen nach dem Stufenplan,</w:t>
      </w:r>
    </w:p>
    <w:p>
      <w:pPr>
        <w:ind w:left="420"/>
      </w:pPr>
      <w:r>
        <w:t xml:space="preserve">4. Überwachung des Verkehrs mit Betäubungsmitteln,</w:t>
      </w:r>
    </w:p>
    <w:p>
      <w:pPr>
        <w:ind w:left="420"/>
      </w:pPr>
      <w:r>
        <w:t xml:space="preserve">5. Arbeiten zur medizinischen und technischen Sicherheit, Eignung und Leistung von Medizinprodukten,</w:t>
      </w:r>
    </w:p>
    <w:p>
      <w:pPr>
        <w:ind w:left="420"/>
      </w:pPr>
      <w:r>
        <w:t xml:space="preserve">6. zentrale Risikoerfassung sowie Durchführung von Maßnahmen zur Risikoabwehr bei Medizinprodukten,</w:t>
      </w:r>
    </w:p>
    <w:p>
      <w:pPr>
        <w:ind w:left="420"/>
      </w:pPr>
      <w:r>
        <w:t xml:space="preserve">7. Koordinierung des Datenzugangs im Gesundheitswesen für die forschungsbezogene Zusammenführung und Verknüpfung von Gesundheitsdaten.</w:t>
      </w:r>
    </w:p>
    <w:p>
      <w:r>
        <w:rPr>
          <w:color w:val="555555"/>
          <w:sz w:val="17"/>
        </w:rPr>
        <w:t xml:space="preserve">Zitiervorschlag: § 1 BGA-NachfG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https://recht.nulegal.eu/gesetze/BGA-NachfG/1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