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BG-V</w:t>
      </w:r>
    </w:p>
    <w:p>
      <w:r>
        <w:rPr>
          <w:color w:val="555555"/>
          <w:sz w:val="18"/>
        </w:rPr>
        <w:t xml:space="preserve">Brennstoffwechsel-Gasmangellage-Verordnung</w:t>
      </w:r>
    </w:p>
    <w:p>
      <w:r>
        <w:rPr>
          <w:color w:val="555555"/>
          <w:sz w:val="18"/>
        </w:rPr>
        <w:t xml:space="preserve">Historische Fassung: Stand 26.10.2022 bis 27.04.2025. Dies ist nicht die aktuelle Fassung.</w:t>
      </w:r>
    </w:p>
    <w:p>
      <w:r>
        <w:t xml:space="preserve">Auf Grund des § 23 Absatz 1 Nummer 5 bis 8, 10 und 11 und Absatz 2 in Verbindung mit § 62 Absatz 4 und § 63 Absatz 2 Satz 2 des Wasserhaushaltsgesetzes, von denen § 23 Absatz 1 Nummer 5 zuletzt durch Artikel 2 Nummer 1 des Gesetzes vom 4. Dezember 2018 (BGBl. I S. 2254), § 62 Absatz 4 zuletzt durch Artikel 253 der Verordnung vom 19. Juni 2020 (BGBl. I S. 1328) und § 63 Absatz 2 Satz 2 zuletzt durch Artikel 1 Nummer 2 Buchstabe b des Gesetzes vom 18. Juli 2017 (BGBl. I S. 2771) geändert worden ist, verordnet die Bundesregierung nach Anhörung der beteiligten Kreise:</w:t>
      </w:r>
    </w:p>
    <w:p>
      <w:r>
        <w:rPr>
          <w:color w:val="555555"/>
          <w:sz w:val="17"/>
        </w:rPr>
        <w:t xml:space="preserve">Zitiervorschlag: Eingangsformel BG-V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https://recht.nulegal.eu/gesetze/BG-V/eingangsformel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