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BG-V — Errichtung und Betrieb von Anlagen</w:t>
      </w:r>
    </w:p>
    <w:p>
      <w:r>
        <w:rPr>
          <w:color w:val="555555"/>
          <w:sz w:val="18"/>
        </w:rPr>
        <w:t xml:space="preserve">Brennstoffwechsel-Gasmangellage-Verordnung</w:t>
      </w:r>
    </w:p>
    <w:p>
      <w:r>
        <w:rPr>
          <w:color w:val="555555"/>
          <w:sz w:val="18"/>
        </w:rPr>
        <w:t xml:space="preserve">Außer Kraft: § 3 ist seit 29.10.2024 nicht mehr im BG-V enthalten. Angezeigt wird die letzte bekannte Fassung, Stand 26.10.2022.</w:t>
      </w:r>
    </w:p>
    <w:p>
      <w:r>
        <w:t xml:space="preserve">(1) Für die Errichtung und den Betrieb von Anlagen nach § 1 Absatz 2 bedarf es über die Ausnahmen von § 41 Absatz 1 der Verordnung über Anlagen zum Umgang mit wassergefährdenden Stoffen hinaus keiner Eignungsfeststellung nach § 63 Absatz 1 des Wasserhaushaltsgesetzes, wenn die zugeordneten Rohrleitungen der Vorschrift des § 21 der Verordnung über Anlagen zum Umgang mit wassergefährdenden Stoffen entsprechen und die Anlagenteile</w:t>
      </w:r>
    </w:p>
    <w:p>
      <w:pPr>
        <w:ind w:left="420"/>
      </w:pPr>
      <w:r>
        <w:t xml:space="preserve">1. doppelwandig sind und über ein Leckanzeigesystem gemäß § 2 Absatz 17 der Verordnung über Anlagen zum Umgang mit wassergefährdenden Stoffen verfügen oder</w:t>
      </w:r>
    </w:p>
    <w:p>
      <w:pPr>
        <w:ind w:left="420"/>
      </w:pPr>
      <w:r>
        <w:t xml:space="preserve">2. einwandig sind und in Rückhalteeinrichtungen gemäß § 18 Absatz 3 oder 4 der Verordnung über Anlagen zum Umgang mit wassergefährdenden Stoffen errichtet worden sind.</w:t>
      </w:r>
    </w:p>
    <w:p>
      <w:r>
        <w:t xml:space="preserve">Die nach Satz 1 verwendeten Anlagenteile müssen über entsprechende bauordnungsrechtliche Verwendbarkeits- und Anwendbarkeitsnachweise gemäß § 63 Absatz 4 des Wasserhaushaltsgesetzes verfügen. Die Nachweise hat der Betreiber im Rahmen der Prüfung vor Inbetriebnahme vorzulegen.</w:t>
      </w:r>
    </w:p>
    <w:p>
      <w:r>
        <w:t xml:space="preserve">(2) Die Pflicht des Betreibers zur Prüfung vor Inbetriebnahme gemäß § 46 Absatz 2 der Verordnung über Anlagen zum Umgang mit wassergefährdenden Stoffen und § 47 Absatz 3 der Verordnung über Anlagen zum Umgang mit wassergefährdenden Stoffen bleibt von den Regelungen des Absatzes 1 unberührt.</w:t>
      </w:r>
    </w:p>
    <w:p>
      <w:r>
        <w:rPr>
          <w:color w:val="555555"/>
          <w:sz w:val="17"/>
        </w:rPr>
        <w:t xml:space="preserve">Zitiervorschlag: § 3 BG-V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https://recht.nulegal.eu/gesetze/BG-V/3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