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BG-V — Maßgaben für die Anwendung von § 40 der Verordnung über Anlagen zum Umgang mit wassergefährdenden Stoffen</w:t>
      </w:r>
    </w:p>
    <w:p>
      <w:r>
        <w:rPr>
          <w:color w:val="555555"/>
          <w:sz w:val="18"/>
        </w:rPr>
        <w:t xml:space="preserve">Brennstoffwechsel-Gasmangellage-Verordnung</w:t>
      </w:r>
    </w:p>
    <w:p>
      <w:r>
        <w:rPr>
          <w:color w:val="555555"/>
          <w:sz w:val="18"/>
        </w:rPr>
        <w:t xml:space="preserve">Außer Kraft: § 2 ist seit 29.10.2024 nicht mehr im BG-V enthalten. Angezeigt wird die letzte bekannte Fassung, Stand 26.10.2022.</w:t>
      </w:r>
    </w:p>
    <w:p>
      <w:r>
        <w:t xml:space="preserve">Bei Anlagen nach § 1 Absatz 2 entfällt die Anzeigepflicht nach § 40 Absatz 1 der Verordnung über Anlagen zum Umgang mit wassergefährdenden Stoffen. Durch den Betreiber sind die Angaben zu den Anlagen im Prüfbericht nach § 47 Absatz 3 dem Sachverständigen nach § 2 Absatz 33 der Verordnung über Anlagen zum Umgang mit wassergefährdenden Stoffen bei den Prüfungen nach § 3 Absatz 2 und § 5 Absatz 2 dieser Verordnung für die Aufnahme in den Prüfbericht mitzuteilen.</w:t>
      </w:r>
    </w:p>
    <w:p>
      <w:r>
        <w:rPr>
          <w:color w:val="555555"/>
          <w:sz w:val="17"/>
        </w:rPr>
        <w:t xml:space="preserve">Zitiervorschlag: § 2 BG-V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https://recht.nulegal.eu/gesetze/BG-V/2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