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BFinHSHuaG</w:t>
      </w:r>
    </w:p>
    <w:p>
      <w:r>
        <w:rPr>
          <w:color w:val="555555"/>
          <w:sz w:val="18"/>
        </w:rPr>
        <w:t xml:space="preserve">Gesetz über Finanzhilfen des Bundes nach Artikel 104a Abs. 4 des Grundgesetzes an die Länder Schleswig-Holstein, Niedersachsen, Freie Hansestadt Bremen sowie Freie und Hansestadt Hamburg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die Finanzhilfen werden Investitionsmaßnahmen zur Verbesserung der Infrastruktur, insbesondere der Verkehrsinfrastruktur, zum Ausgleich unterschiedlicher Wirtschaftskraft gefördert.</w:t>
      </w:r>
    </w:p>
    <w:p>
      <w:r>
        <w:rPr>
          <w:color w:val="555555"/>
          <w:sz w:val="17"/>
        </w:rPr>
        <w:t xml:space="preserve">Zitiervorschlag: § 2 BFinHSHuaG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https://recht.nulegal.eu/gesetze/BFinHSHuaG/2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