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BFinHBRuaG</w:t>
      </w:r>
    </w:p>
    <w:p>
      <w:r>
        <w:rPr>
          <w:color w:val="555555"/>
          <w:sz w:val="18"/>
        </w:rPr>
        <w:t xml:space="preserve">Gesetz über Finanzhilfen des Bundes nach Artikel 104a Abs. 4 des Grundgesetzes an die Länder Bremen, Hamburg, Mecklenburg-Vorpommern, Niedersachsen sowie Schleswig-Holstein für Seehäfen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Finanzhilfen des Bundes betragen 90 vom Hundert der förderungsfähigen Ausgaben.</w:t>
      </w:r>
    </w:p>
    <w:p>
      <w:r>
        <w:t xml:space="preserve">(2) Von einem Land in einem Jahr nicht abgerufene Bundesmittel können in den Folgejahren bei Bedarf abgerufen werden.</w:t>
      </w:r>
    </w:p>
    <w:p>
      <w:r>
        <w:rPr>
          <w:color w:val="555555"/>
          <w:sz w:val="17"/>
        </w:rPr>
        <w:t xml:space="preserve">Zitiervorschlag: § 2 BFinHBRuaG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https://recht.nulegal.eu/gesetze/BFinHBRuaG/2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