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BFV (Brandenburg) — In-Kraft-Treten, Außer-Kraft-Treten</w:t>
      </w:r>
    </w:p>
    <w:p>
      <w:r>
        <w:rPr>
          <w:color w:val="555555"/>
          <w:sz w:val="18"/>
        </w:rPr>
        <w:t xml:space="preserve">Bildungsfreistellungsverordnung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Diese Verordnung tritt am Tage nach der Verkündung in Kraft. Gleichzeitig tritt die Bildungsfreistellungsverordnung vom 22. November 1995 (GVBl. II S. 686), geändert durch Verordnung vom 9. November 2000 (GVBl. II S. 410), außer Kraft.</w:t>
      </w:r>
    </w:p>
    <w:p>
      <w:r>
        <w:t xml:space="preserve">Potsdam, den 21. Januar 2005</w:t>
      </w:r>
    </w:p>
    <w:p>
      <w:r>
        <w:t xml:space="preserve">Der Minister für Bildung, Jugend und Sport</w:t>
      </w:r>
    </w:p>
    <w:p>
      <w:r>
        <w:t xml:space="preserve">Holger Rupprecht</w:t>
      </w:r>
    </w:p>
    <w:p>
      <w:r>
        <w:rPr>
          <w:color w:val="555555"/>
          <w:sz w:val="17"/>
        </w:rPr>
        <w:t xml:space="preserve">Zitiervorschlag: § 9 BFV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https://recht.nulegal.eu/gesetze/BFV/9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