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BFV (Brandenburg) — Berichtspflicht</w:t>
      </w:r>
    </w:p>
    <w:p>
      <w:r>
        <w:rPr>
          <w:color w:val="555555"/>
          <w:sz w:val="18"/>
        </w:rPr>
        <w:t xml:space="preserve">Bildungsfreistellungsverordnung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Veranstalter, die anerkannte Weiterbildungsveranstaltungen durchgeführt haben, sind verpflichtet, nach Beendigung der Veranstaltung die Auskunft gemäß § 33 des Brandenburgischen Erwachsenenbildungsgesetzes bis zum jeweiligen Ende des Kalenderjahres über das vom für Bildung zuständigen Ministerium vorgegebene Online -Antragsportal einzureichen.</w:t>
      </w:r>
    </w:p>
    <w:p>
      <w:r>
        <w:rPr>
          <w:color w:val="555555"/>
          <w:sz w:val="17"/>
        </w:rPr>
        <w:t xml:space="preserve">Zitiervorschlag: § 8 BFV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