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BFV (Brandenburg) — Beteiligung in grundsätzlichen Fragen</w:t>
      </w:r>
    </w:p>
    <w:p>
      <w:r>
        <w:rPr>
          <w:color w:val="555555"/>
          <w:sz w:val="18"/>
        </w:rPr>
        <w:t xml:space="preserve">Bildungsfreistellungsverordnung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In allen Fragen der Anerkennung von Weiterbildungsveranstaltungen zur Bildungsfreistellung, die vom Landesbeirat für Weiterbildung und dem für Bildung zuständigen Ministerium als grundsätzlich eingeordnet werden, beteiligt das für Bildung zuständige Ministerium</w:t>
      </w:r>
    </w:p>
    <w:p>
      <w:r>
        <w:t xml:space="preserve">die Vereinigung der Unternehmensverbände Berlin-Brandenburg,</w:t>
      </w:r>
    </w:p>
    <w:p>
      <w:r>
        <w:t xml:space="preserve">den Landesbeirat für Weiterbildung,</w:t>
      </w:r>
    </w:p>
    <w:p>
      <w:r>
        <w:t xml:space="preserve">die Spitzenorganisationen der Gewerkschaften (Deutscher Gewerkschaftsbund, Deutscher Beamtenbund),</w:t>
      </w:r>
    </w:p>
    <w:p>
      <w:r>
        <w:t xml:space="preserve">das für Arbeit zuständige Ministerium,</w:t>
      </w:r>
    </w:p>
    <w:p>
      <w:r>
        <w:t xml:space="preserve">das für Kultur zuständige Ministerium,</w:t>
      </w:r>
    </w:p>
    <w:p>
      <w:r>
        <w:t xml:space="preserve">die Brandenburgische Landeszentrale für politische Bildung.</w:t>
      </w:r>
    </w:p>
    <w:p>
      <w:r>
        <w:t xml:space="preserve">(2) Die Beteiligung umfasst insbesondere die Abgabe von Stellungnahmen und Empfehlungen zur Praxis und zum Verfahren der Anerkennung.</w:t>
      </w:r>
    </w:p>
    <w:p>
      <w:r>
        <w:t xml:space="preserve">(3) Davon unberührt bleibt die Funktion des Landesbeirates gemäß § 12 Abs. 5 und 6 des Brandenburgischen Weiterbildungsgesetzes.</w:t>
      </w:r>
    </w:p>
    <w:p>
      <w:r>
        <w:rPr>
          <w:color w:val="555555"/>
          <w:sz w:val="17"/>
        </w:rPr>
        <w:t xml:space="preserve">Zitiervorschlag: § 6 BFV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https://recht.nulegal.eu/gesetze/BFV/6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