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BFV (Brandenburg) — Anerkennung von Wiederholungsveranstaltungen</w:t>
      </w:r>
    </w:p>
    <w:p>
      <w:r>
        <w:rPr>
          <w:color w:val="555555"/>
          <w:sz w:val="18"/>
        </w:rPr>
        <w:t xml:space="preserve">Bildungsfreistellungsverordnung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Wiederholungsveranstaltungen können ohne erneuten Nachweis der Voraussetzungen gemäß § 3 Abs. 1 anerkannt werden, wenn sie nach der Veranstaltungsbezeichnung und dem didaktisch-methodischen Konzept mit einer bereits anerkannten Weiterbildungsveranstaltung desselben Antragstellers übereinstimmen.</w:t>
      </w:r>
    </w:p>
    <w:p>
      <w:r>
        <w:t xml:space="preserve">(2) Wiederholungsveranstaltungen im Sinne des Absatzes 1 können auch für die Dauer von zwei Jahren anerkannt werden.</w:t>
      </w:r>
    </w:p>
    <w:p>
      <w:r>
        <w:rPr>
          <w:color w:val="555555"/>
          <w:sz w:val="17"/>
        </w:rPr>
        <w:t xml:space="preserve">Zitiervorschlag: § 5 BFV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