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BFV (Brandenburg) — Nichtanerkennung</w:t>
      </w:r>
    </w:p>
    <w:p>
      <w:r>
        <w:rPr>
          <w:color w:val="555555"/>
          <w:sz w:val="18"/>
        </w:rPr>
        <w:t xml:space="preserve">Bildungsfreistellungsverordnung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Veranstaltungen sind nicht der beruflichen, kulturellen oder politischen Weiterbildung im Sinne dieser Verordnung zuzuordnen und von der Anerkennung ausgeschlossen, wenn sie</w:t>
      </w:r>
    </w:p>
    <w:p>
      <w:r>
        <w:t xml:space="preserve">unmittelbar der Durchsetzung partei- und verbandspolitischer Ziele oder der religiösen oder weltanschaulichen Überzeugung oder Betätigung,</w:t>
      </w:r>
    </w:p>
    <w:p>
      <w:r>
        <w:t xml:space="preserve">der privaten Freizeitgestaltung, der Erholung, der Unterhaltung, touristischen Besichtigungen, der Geselligkeit,</w:t>
      </w:r>
    </w:p>
    <w:p>
      <w:r>
        <w:t xml:space="preserve">der privaten Lebensführung oder der persönlichen Lebenshilfe oder der Vermittlung entsprechender Kenntnisse oder Fertigkeiten,</w:t>
      </w:r>
    </w:p>
    <w:p>
      <w:r>
        <w:t xml:space="preserve">überwiegend dem Erlernen künstlerischer, sportlicher und handwerklicher Techniken oder überwiegend der Betätigung in künstlerischen, sportlichen und handwerklichen Bereichen,</w:t>
      </w:r>
    </w:p>
    <w:p>
      <w:r>
        <w:t xml:space="preserve">dem Erwerb von Fahrerlaubnissen oder ähnlichen Berechtigungen,</w:t>
      </w:r>
    </w:p>
    <w:p>
      <w:r>
        <w:t xml:space="preserve">dem Ziel der Berufsausbildung gemäß dem Berufsbildungsgesetz oder der Handwerksordnung oder der beruflichen Umschulung,</w:t>
      </w:r>
    </w:p>
    <w:p>
      <w:r>
        <w:t xml:space="preserve">der beruflichen Rehabilitation,</w:t>
      </w:r>
    </w:p>
    <w:p>
      <w:r>
        <w:t xml:space="preserve">der Einarbeitung auf bestimmte betriebliche Arbeitsplätze oder</w:t>
      </w:r>
    </w:p>
    <w:p>
      <w:r>
        <w:t xml:space="preserve">überwiegend betriebsinternen Erfordernissen</w:t>
      </w:r>
    </w:p>
    <w:p>
      <w:r>
        <w:t xml:space="preserve">dienen.</w:t>
      </w:r>
    </w:p>
    <w:p>
      <w:r>
        <w:t xml:space="preserve">(2) Abweichend von Absatz 1 Nr. 3 und 4 können Veranstaltungen anerkannt werden, die der beruflichen Weiterbildung auf dem betreffenden Gebiet dienen.</w:t>
      </w:r>
    </w:p>
    <w:p>
      <w:r>
        <w:t xml:space="preserve">(3) Weiterbildungsveranstaltungen, deren Inhalte nicht eindeutig der politischen, der beruflichen oder der kulturellen Weiterbildung zuzuordnen sind, können nicht anerkannt werden.</w:t>
      </w:r>
    </w:p>
    <w:p>
      <w:r>
        <w:t xml:space="preserve">(4) Die Anerkennung von Veranstaltungen kann abgelehnt werden, wenn der Veranstalter wiederholt schuldhaft gegen die Bestimmungen dieser Verordnung und die daraus erwachsenden Verpflichtungen verstoßen hat.</w:t>
      </w:r>
    </w:p>
    <w:p>
      <w:r>
        <w:rPr>
          <w:color w:val="555555"/>
          <w:sz w:val="17"/>
        </w:rPr>
        <w:t xml:space="preserve">Zitiervorschlag: § 4 BFV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