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 BFV 1980 — Weitergehende Anforderungen</w:t>
      </w:r>
    </w:p>
    <w:p>
      <w:r>
        <w:rPr>
          <w:color w:val="555555"/>
          <w:sz w:val="18"/>
        </w:rPr>
        <w:t xml:space="preserve">Verordnung über brennbare Flüssigkeiten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Anlagen zur Lagerung, Abfüllung oder Beförderung brennbarer Flüssigkeiten müssen ferner den über § 4 Abs. 1 hinausgehenden Anforderungen genügen, die von der zuständigen Behörde im Einzelfall zur Abwendung besonderer Gefahren für Beschäftigte oder Dritte gestellt werden. § 9 Abs. 4 Satz 2 und 3 bleibt unberührt.</w:t>
      </w:r>
    </w:p>
    <w:p>
      <w:r>
        <w:rPr>
          <w:color w:val="555555"/>
          <w:sz w:val="17"/>
        </w:rPr>
        <w:t xml:space="preserve">Zitiervorschlag: § 5 BFV 1980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https://recht.nulegal.eu/gesetze/BFV%201980/5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