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BFStrSonGebV</w:t>
      </w:r>
    </w:p>
    <w:p>
      <w:r>
        <w:rPr>
          <w:color w:val="555555"/>
          <w:sz w:val="18"/>
        </w:rPr>
        <w:t xml:space="preserve">Bundesfernstraßen-Sondernutzungsgebühren-Verordnung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Auf Grund des § 8 Absatz 3 Satz 3 des Bundesfernstraßengesetzes in der Fassung der Bekanntmachung vom 28. Juni 2007 (BGBl. I S. 1206), der durch Artikel 17 Nummer 8 Buchstabe d des Gesetzes vom 14. August 2017 (BGBl. I S. 3122) geändert worden ist, verordnet das Bundesministerium für Verkehr und digitale Infrastruktur:</w:t>
      </w:r>
    </w:p>
    <w:p>
      <w:r>
        <w:rPr>
          <w:color w:val="555555"/>
          <w:sz w:val="17"/>
        </w:rPr>
        <w:t xml:space="preserve">Zitiervorschlag: Eingangsformel BFStrSonGebV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https://recht.nulegal.eu/gesetze/BFStrSonGebV/eingangsformel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