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BFStrSonGebV — Erstattung von Gebühren</w:t>
      </w:r>
    </w:p>
    <w:p>
      <w:r>
        <w:rPr>
          <w:color w:val="555555"/>
          <w:sz w:val="18"/>
        </w:rPr>
        <w:t xml:space="preserve">Bundesfernstraßen-Sondernutzungsgebühren-Verordnung</w:t>
      </w:r>
    </w:p>
    <w:p>
      <w:r>
        <w:rPr>
          <w:color w:val="555555"/>
          <w:sz w:val="18"/>
        </w:rPr>
        <w:t xml:space="preserve">Stand: 11.06.2021 (konsolidierte Textfassung, kein amtliches Inkrafttretensdatum)</w:t>
      </w:r>
    </w:p>
    <w:p>
      <w:r>
        <w:t xml:space="preserve">(1) Gebühren werden auf Antrag anteilig erstattet, sofern</w:t>
      </w:r>
    </w:p>
    <w:p>
      <w:pPr>
        <w:ind w:left="420"/>
      </w:pPr>
      <w:r>
        <w:t xml:space="preserve">1. die Sondernutzung aufgegeben oder die Erlaubnis oder die Genehmigung widerrufen wird,</w:t>
      </w:r>
    </w:p>
    <w:p>
      <w:pPr>
        <w:ind w:left="420"/>
      </w:pPr>
      <w:r>
        <w:t xml:space="preserve">2. die Gebühren nach Jahren bemessen und im Voraus entrichtet wurden und</w:t>
      </w:r>
    </w:p>
    <w:p>
      <w:pPr>
        <w:ind w:left="420"/>
      </w:pPr>
      <w:r>
        <w:t xml:space="preserve">3. der Erstattungsbetrag mehr als 25 Euro beträgt.</w:t>
      </w:r>
    </w:p>
    <w:p>
      <w:r>
        <w:t xml:space="preserve">Der Antrag ist innerhalb von drei Monaten nach Beendigung oder Widerruf der Sondernutzung bei der Gesellschaft privaten Rechts im Sinne des Infrastrukturgesellschaftserrichtungsgesetzes zu stellen.</w:t>
      </w:r>
    </w:p>
    <w:p>
      <w:r>
        <w:t xml:space="preserve">(2) Die Erstattung beträgt für jeden vollen Monat, in dem keine Sondernutzung mehr erfolgt, ein Zwölftel der Jahresgebühr.</w:t>
      </w:r>
    </w:p>
    <w:p>
      <w:r>
        <w:t xml:space="preserve">(3) Der Erstattungsbetrag wird nicht verzinst.</w:t>
      </w:r>
    </w:p>
    <w:p>
      <w:r>
        <w:rPr>
          <w:color w:val="555555"/>
          <w:sz w:val="17"/>
        </w:rPr>
        <w:t xml:space="preserve">Zitiervorschlag: § 8 BFStrSonGebV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https://recht.nulegal.eu/gesetze/BFStrSonGebV/8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