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BFStrSonGebV — Stundung, Niederschlagung, Erlass</w:t>
      </w:r>
    </w:p>
    <w:p>
      <w:r>
        <w:rPr>
          <w:color w:val="555555"/>
          <w:sz w:val="18"/>
        </w:rPr>
        <w:t xml:space="preserve">Bundesfernstraßen-Sondernutzungsgebühren-Verordnung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Stundung, Niederschlagung und Erlass von festgesetzten Gebühren richten sich nach § 59 der Bundeshaushaltsordnung.</w:t>
      </w:r>
    </w:p>
    <w:p>
      <w:r>
        <w:rPr>
          <w:color w:val="555555"/>
          <w:sz w:val="17"/>
        </w:rPr>
        <w:t xml:space="preserve">Zitiervorschlag: § 7 BFStrSonGebV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https://recht.nulegal.eu/gesetze/BFStrSonGebV/7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