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BFStrSonGebV — Gebührenfreiheit</w:t>
      </w:r>
    </w:p>
    <w:p>
      <w:r>
        <w:rPr>
          <w:color w:val="555555"/>
          <w:sz w:val="18"/>
        </w:rPr>
        <w:t xml:space="preserve">Bundesfernstraßen-Sondernutzungsgebühren-Verordnung</w:t>
      </w:r>
    </w:p>
    <w:p>
      <w:r>
        <w:rPr>
          <w:color w:val="555555"/>
          <w:sz w:val="18"/>
        </w:rPr>
        <w:t xml:space="preserve">Stand: 11.06.2021 (konsolidierte Textfassung, kein amtliches Inkrafttretensdatum)</w:t>
      </w:r>
    </w:p>
    <w:p>
      <w:r>
        <w:t xml:space="preserve">(1) Von den Gebühren sind befreit:</w:t>
      </w:r>
    </w:p>
    <w:p>
      <w:pPr>
        <w:ind w:left="420"/>
      </w:pPr>
      <w:r>
        <w:t xml:space="preserve">1. die Bundesrepublik Deutschland und die bundesunmittelbaren Körperschaften, Anstalten und Stiftungen des öffentlichen Rechts, deren Ausgaben auf Grund gesetzlicher Verpflichtung ganz oder teilweise aus dem Haushalt des Bundes getragen werden,</w:t>
      </w:r>
    </w:p>
    <w:p>
      <w:pPr>
        <w:ind w:left="420"/>
      </w:pPr>
      <w:r>
        <w:t xml:space="preserve">2. die Länder und die landesunmittelbaren Körperschaften, Anstalten und Stiftungen des öffentlichen Rechts, deren Ausgaben auf Grund gesetzlicher Verpflichtung ganz oder teilweise aus dem Haushalt eines Landes oder mehrerer Länder getragen werden,</w:t>
      </w:r>
    </w:p>
    <w:p>
      <w:pPr>
        <w:ind w:left="420"/>
      </w:pPr>
      <w:r>
        <w:t xml:space="preserve">3. die Gemeinden und Gemeindeverbände, sofern die Gebühren nicht ihre wirtschaftlichen Unternehmen betreffen,</w:t>
      </w:r>
    </w:p>
    <w:p>
      <w:pPr>
        <w:ind w:left="420"/>
      </w:pPr>
      <w:r>
        <w:t xml:space="preserve">4. Körperschaften, Anstalten und Stiftungen des öffentlichen Rechts, wobei Sondernutzungen von Kirchen, Religionsgemeinschaften und Weltanschauungsgemeinschaften, sofern sie die Rechtsstellung einer Körperschaft des öffentlichen Rechts haben, nur gebührenfrei sind, wenn durch die Sondernutzungen unmittelbar die Durchführung kirchlicher, religiöser oder weltanschaulicher Zwecke gefördert wird.</w:t>
      </w:r>
    </w:p>
    <w:p>
      <w:r>
        <w:t xml:space="preserve">(2) Die Befreiung erfolgt nicht, soweit die in Absatz 1 Genannten berechtigt sind, die Gebühren Dritten aufzuerlegen.</w:t>
      </w:r>
    </w:p>
    <w:p>
      <w:r>
        <w:t xml:space="preserve">(3) Gebührenfreiheit besteht nicht für</w:t>
      </w:r>
    </w:p>
    <w:p>
      <w:pPr>
        <w:ind w:left="420"/>
      </w:pPr>
      <w:r>
        <w:t xml:space="preserve">1. Sondervermögen und Bundesbetriebe im Sinne des Artikels 110 Absatz 1 des Grundgesetzes,</w:t>
      </w:r>
    </w:p>
    <w:p>
      <w:pPr>
        <w:ind w:left="420"/>
      </w:pPr>
      <w:r>
        <w:t xml:space="preserve">2. zu Nummer 1 gleichartige Einrichtungen der Länder sowie</w:t>
      </w:r>
    </w:p>
    <w:p>
      <w:pPr>
        <w:ind w:left="420"/>
      </w:pPr>
      <w:r>
        <w:t xml:space="preserve">3. öffentlich-rechtliche Unternehmen, an denen der Bund oder ein Land oder mehrere Länder beteiligt sind.</w:t>
      </w:r>
    </w:p>
    <w:p>
      <w:r>
        <w:t xml:space="preserve">(4) Der Gebührenschuldner kann bei Sondernutzungen, die überwiegend im öffentlichen Interesse liegen, teilweise oder vollständig von den Gebühren befreit werden, es sei denn, dass durch die Sondernutzung erhebliche wirtschaftliche Vorteile für ihn zu erwarten sind.</w:t>
      </w:r>
    </w:p>
    <w:p>
      <w:r>
        <w:rPr>
          <w:color w:val="555555"/>
          <w:sz w:val="17"/>
        </w:rPr>
        <w:t xml:space="preserve">Zitiervorschlag: § 6 BFStrSonGebV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https://recht.nulegal.eu/gesetze/BFStrSonGebV/6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