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BFStrSonGebV — Gebührenschuldner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Gebührenschuldner sind</w:t>
      </w:r>
    </w:p>
    <w:p>
      <w:pPr>
        <w:ind w:left="420"/>
      </w:pPr>
      <w:r>
        <w:t xml:space="preserve">1. der Erlaubnisnehmer oder sein Rechtsnachfolger,</w:t>
      </w:r>
    </w:p>
    <w:p>
      <w:pPr>
        <w:ind w:left="420"/>
      </w:pPr>
      <w:r>
        <w:t xml:space="preserve">2. derjenige, der die Sondernutzung ausübt oder in seinem Interesse ausüben lässt.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4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