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BFStrSonGebV — Festsetzung und Erhebung der Gebühren</w:t>
      </w:r>
    </w:p>
    <w:p>
      <w:r>
        <w:rPr>
          <w:color w:val="555555"/>
          <w:sz w:val="18"/>
        </w:rPr>
        <w:t xml:space="preserve">Bundesfernstraßen-Sondernutzungsgebühren-Verordnung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(1) Die Gebühren werden von der Gesellschaft privaten Rechts im Sinne des Infrastrukturgesellschaftserrichtungsgesetzes festgesetzt und erhoben.</w:t>
      </w:r>
    </w:p>
    <w:p>
      <w:r>
        <w:t xml:space="preserve">(2) Abweichend von Absatz 1 sind in den Fällen von § 8 Absatz 6 und § 8a Absatz 2 des Bundesfernstraßengesetzes die nach dieser Verordnung anfallenden Gebühren in die Erlaubnis oder Genehmigung der zuständigen Behörde aufzunehmen.</w:t>
      </w:r>
    </w:p>
    <w:p>
      <w:r>
        <w:rPr>
          <w:color w:val="555555"/>
          <w:sz w:val="17"/>
        </w:rPr>
        <w:t xml:space="preserve">Zitiervorschlag: § 3 BFStrSonGebV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https://recht.nulegal.eu/gesetze/BFStrSonGebV/3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